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4CD1C" w14:textId="77777777" w:rsidR="00845CF9" w:rsidRPr="00845CF9" w:rsidRDefault="00845CF9" w:rsidP="00845CF9">
      <w:pPr>
        <w:spacing w:before="100" w:beforeAutospacing="1" w:after="100" w:afterAutospacing="1"/>
        <w:rPr>
          <w:rFonts w:ascii="Times" w:eastAsia="Times New Roman" w:hAnsi="Times" w:cs="Times New Roman"/>
          <w:sz w:val="22"/>
          <w:szCs w:val="22"/>
        </w:rPr>
      </w:pPr>
      <w:r w:rsidRPr="00845CF9">
        <w:rPr>
          <w:rFonts w:ascii="Times" w:eastAsia="Times New Roman" w:hAnsi="Times" w:cs="Calibri"/>
          <w:b/>
          <w:bCs/>
          <w:sz w:val="22"/>
          <w:szCs w:val="22"/>
        </w:rPr>
        <w:t xml:space="preserve">Parkland HIV Consult Service </w:t>
      </w:r>
    </w:p>
    <w:p w14:paraId="674D6025" w14:textId="095C8443" w:rsidR="00845CF9" w:rsidRPr="00845CF9" w:rsidRDefault="00845CF9" w:rsidP="00845CF9">
      <w:pPr>
        <w:spacing w:before="100" w:beforeAutospacing="1" w:after="100" w:afterAutospacing="1"/>
        <w:rPr>
          <w:rFonts w:ascii="Times" w:eastAsia="Times New Roman" w:hAnsi="Times" w:cs="Times New Roman"/>
          <w:sz w:val="22"/>
          <w:szCs w:val="22"/>
        </w:rPr>
      </w:pPr>
      <w:r w:rsidRPr="00845CF9">
        <w:rPr>
          <w:rFonts w:ascii="Times" w:eastAsia="Times New Roman" w:hAnsi="Times" w:cs="Calibri"/>
          <w:sz w:val="22"/>
          <w:szCs w:val="22"/>
        </w:rPr>
        <w:t>We are very excited to have you rotating with us on PHHS HIV ID Consult service. Our goal is for you to increase your knowledge and clinical skills in the management of HIV and opportunistic infections</w:t>
      </w:r>
      <w:r w:rsidRPr="00FE5DA4">
        <w:rPr>
          <w:rFonts w:ascii="Times" w:eastAsia="Times New Roman" w:hAnsi="Times" w:cs="Calibri"/>
          <w:sz w:val="22"/>
          <w:szCs w:val="22"/>
        </w:rPr>
        <w:t>,</w:t>
      </w:r>
      <w:r w:rsidRPr="00845CF9">
        <w:rPr>
          <w:rFonts w:ascii="Times" w:eastAsia="Times New Roman" w:hAnsi="Times" w:cs="Calibri"/>
          <w:sz w:val="22"/>
          <w:szCs w:val="22"/>
        </w:rPr>
        <w:t xml:space="preserve"> the appropriate use of antiretroviral therapy</w:t>
      </w:r>
      <w:r w:rsidRPr="00FE5DA4">
        <w:rPr>
          <w:rFonts w:ascii="Times" w:eastAsia="Times New Roman" w:hAnsi="Times" w:cs="Calibri"/>
          <w:sz w:val="22"/>
          <w:szCs w:val="22"/>
        </w:rPr>
        <w:t>, and experience</w:t>
      </w:r>
      <w:r w:rsidRPr="00845CF9">
        <w:rPr>
          <w:rFonts w:ascii="Times" w:eastAsia="Times New Roman" w:hAnsi="Times" w:cs="Calibri"/>
          <w:sz w:val="22"/>
          <w:szCs w:val="22"/>
        </w:rPr>
        <w:t xml:space="preserve"> </w:t>
      </w:r>
      <w:r w:rsidRPr="00FE5DA4">
        <w:rPr>
          <w:rFonts w:ascii="Times" w:eastAsia="Times New Roman" w:hAnsi="Times" w:cs="Calibri"/>
          <w:sz w:val="22"/>
          <w:szCs w:val="22"/>
        </w:rPr>
        <w:t>the</w:t>
      </w:r>
      <w:r w:rsidRPr="00845CF9">
        <w:rPr>
          <w:rFonts w:ascii="Times" w:eastAsia="Times New Roman" w:hAnsi="Times" w:cs="Calibri"/>
          <w:sz w:val="22"/>
          <w:szCs w:val="22"/>
        </w:rPr>
        <w:t xml:space="preserve"> fascinating breadth and depth of amazing ID cases at </w:t>
      </w:r>
      <w:r w:rsidRPr="00FE5DA4">
        <w:rPr>
          <w:rFonts w:ascii="Times" w:eastAsia="Times New Roman" w:hAnsi="Times" w:cs="Calibri"/>
          <w:sz w:val="22"/>
          <w:szCs w:val="22"/>
        </w:rPr>
        <w:t>Parkland Hospital</w:t>
      </w:r>
      <w:r w:rsidRPr="00845CF9">
        <w:rPr>
          <w:rFonts w:ascii="Times" w:eastAsia="Times New Roman" w:hAnsi="Times" w:cs="Calibri"/>
          <w:sz w:val="22"/>
          <w:szCs w:val="22"/>
        </w:rPr>
        <w:t>. For general expectations and didactic schedule relevant to all ID rotations, please refer to the ID Rotation Expectations All Sites document. The Parkland HIV ID service covers all patients at Parkland with HIV for whom the primary team requests an ID consult. All of the patients who are seen by the consult service have HIV, but the reason for consult will vary from opportunistic infections to other infectious disease issues</w:t>
      </w:r>
      <w:r w:rsidRPr="00FE5DA4">
        <w:rPr>
          <w:rFonts w:ascii="Times" w:eastAsia="Times New Roman" w:hAnsi="Times" w:cs="Calibri"/>
          <w:sz w:val="22"/>
          <w:szCs w:val="22"/>
        </w:rPr>
        <w:t xml:space="preserve"> or general HIV management</w:t>
      </w:r>
      <w:r w:rsidRPr="00845CF9">
        <w:rPr>
          <w:rFonts w:ascii="Times" w:eastAsia="Times New Roman" w:hAnsi="Times" w:cs="Calibri"/>
          <w:sz w:val="22"/>
          <w:szCs w:val="22"/>
        </w:rPr>
        <w:t xml:space="preserve">. You will learn about the social context of HIV and how to support patients’ treatment in a holistic sense. The consult service is staffed by one ID attending, </w:t>
      </w:r>
      <w:r w:rsidRPr="00FE5DA4">
        <w:rPr>
          <w:rFonts w:ascii="Times" w:eastAsia="Times New Roman" w:hAnsi="Times" w:cs="Calibri"/>
          <w:sz w:val="22"/>
          <w:szCs w:val="22"/>
        </w:rPr>
        <w:t xml:space="preserve">and ID or HIV fellow, </w:t>
      </w:r>
      <w:r w:rsidRPr="00845CF9">
        <w:rPr>
          <w:rFonts w:ascii="Times" w:eastAsia="Times New Roman" w:hAnsi="Times" w:cs="Calibri"/>
          <w:sz w:val="22"/>
          <w:szCs w:val="22"/>
        </w:rPr>
        <w:t>nurse practitioners</w:t>
      </w:r>
      <w:r w:rsidRPr="00FE5DA4">
        <w:rPr>
          <w:rFonts w:ascii="Times" w:eastAsia="Times New Roman" w:hAnsi="Times" w:cs="Calibri"/>
          <w:sz w:val="22"/>
          <w:szCs w:val="22"/>
        </w:rPr>
        <w:t xml:space="preserve"> and PAs. </w:t>
      </w:r>
      <w:r w:rsidRPr="00845CF9">
        <w:rPr>
          <w:rFonts w:ascii="Times" w:eastAsia="Times New Roman" w:hAnsi="Times" w:cs="Calibri"/>
          <w:sz w:val="22"/>
          <w:szCs w:val="22"/>
        </w:rPr>
        <w:t xml:space="preserve">You will also participate in multidisciplinary rounds with case managers, transition case managers, and social workers daily. </w:t>
      </w:r>
    </w:p>
    <w:p w14:paraId="1E6E5565" w14:textId="4CE8F094" w:rsidR="00845CF9" w:rsidRPr="00845CF9" w:rsidRDefault="00845CF9" w:rsidP="00845CF9">
      <w:pPr>
        <w:spacing w:before="100" w:beforeAutospacing="1" w:after="100" w:afterAutospacing="1"/>
        <w:rPr>
          <w:rFonts w:ascii="Times" w:eastAsia="Times New Roman" w:hAnsi="Times" w:cs="Times New Roman"/>
          <w:sz w:val="22"/>
          <w:szCs w:val="22"/>
        </w:rPr>
      </w:pPr>
      <w:r w:rsidRPr="00845CF9">
        <w:rPr>
          <w:rFonts w:ascii="Times" w:eastAsia="Times New Roman" w:hAnsi="Times" w:cs="Calibri"/>
          <w:sz w:val="22"/>
          <w:szCs w:val="22"/>
        </w:rPr>
        <w:t xml:space="preserve">There are </w:t>
      </w:r>
      <w:r w:rsidRPr="00FE5DA4">
        <w:rPr>
          <w:rFonts w:ascii="Times" w:eastAsia="Times New Roman" w:hAnsi="Times" w:cs="Calibri"/>
          <w:sz w:val="22"/>
          <w:szCs w:val="22"/>
        </w:rPr>
        <w:t>several</w:t>
      </w:r>
      <w:r w:rsidRPr="00845CF9">
        <w:rPr>
          <w:rFonts w:ascii="Times" w:eastAsia="Times New Roman" w:hAnsi="Times" w:cs="Calibri"/>
          <w:sz w:val="22"/>
          <w:szCs w:val="22"/>
        </w:rPr>
        <w:t xml:space="preserve"> reasons why a primary team might consult the HIV team. Because involvement of the team includes the expertise of case managers and social workers, connecting patients with community resources and adherence support </w:t>
      </w:r>
      <w:r w:rsidRPr="00FE5DA4">
        <w:rPr>
          <w:rFonts w:ascii="Times" w:eastAsia="Times New Roman" w:hAnsi="Times" w:cs="Calibri"/>
          <w:sz w:val="22"/>
          <w:szCs w:val="22"/>
        </w:rPr>
        <w:t>is</w:t>
      </w:r>
      <w:r w:rsidRPr="00845CF9">
        <w:rPr>
          <w:rFonts w:ascii="Times" w:eastAsia="Times New Roman" w:hAnsi="Times" w:cs="Calibri"/>
          <w:sz w:val="22"/>
          <w:szCs w:val="22"/>
        </w:rPr>
        <w:t xml:space="preserve"> just as important in an individual patient case as the medical recommendations. Education is paramount for our patients, and everyone plays a vital role in supporting and teaching our patients about the fundamentals of HIV, including prevention, treatment and prognosis. We tend to see all patients for whom we are consulted, even if the medical problem may be relatively straight-forward. </w:t>
      </w:r>
    </w:p>
    <w:p w14:paraId="09CEC808" w14:textId="77ADC0C6" w:rsidR="00845CF9" w:rsidRPr="00845CF9" w:rsidRDefault="00845CF9" w:rsidP="00845CF9">
      <w:pPr>
        <w:spacing w:before="100" w:beforeAutospacing="1" w:after="100" w:afterAutospacing="1"/>
        <w:rPr>
          <w:rFonts w:ascii="Times" w:eastAsia="Times New Roman" w:hAnsi="Times" w:cs="Times New Roman"/>
          <w:sz w:val="22"/>
          <w:szCs w:val="22"/>
        </w:rPr>
      </w:pPr>
      <w:r w:rsidRPr="00845CF9">
        <w:rPr>
          <w:rFonts w:ascii="Times" w:eastAsia="Times New Roman" w:hAnsi="Times" w:cs="Calibri"/>
          <w:b/>
          <w:bCs/>
          <w:sz w:val="22"/>
          <w:szCs w:val="22"/>
        </w:rPr>
        <w:t xml:space="preserve">HIV Team Structure: </w:t>
      </w:r>
      <w:r w:rsidRPr="00FE5DA4">
        <w:rPr>
          <w:rFonts w:ascii="Times" w:eastAsia="Times New Roman" w:hAnsi="Times" w:cs="Calibri"/>
          <w:sz w:val="22"/>
          <w:szCs w:val="22"/>
        </w:rPr>
        <w:t>The fellow</w:t>
      </w:r>
      <w:r w:rsidRPr="00845CF9">
        <w:rPr>
          <w:rFonts w:ascii="Times" w:eastAsia="Times New Roman" w:hAnsi="Times" w:cs="Calibri"/>
          <w:sz w:val="22"/>
          <w:szCs w:val="22"/>
        </w:rPr>
        <w:t xml:space="preserve"> will </w:t>
      </w:r>
      <w:r w:rsidRPr="00FE5DA4">
        <w:rPr>
          <w:rFonts w:ascii="Times" w:eastAsia="Times New Roman" w:hAnsi="Times" w:cs="Calibri"/>
          <w:sz w:val="22"/>
          <w:szCs w:val="22"/>
        </w:rPr>
        <w:t>receive</w:t>
      </w:r>
      <w:r w:rsidRPr="00845CF9">
        <w:rPr>
          <w:rFonts w:ascii="Times" w:eastAsia="Times New Roman" w:hAnsi="Times" w:cs="Calibri"/>
          <w:sz w:val="22"/>
          <w:szCs w:val="22"/>
        </w:rPr>
        <w:t xml:space="preserve"> all pages pertaining to new consults as well as questions on patients currently followed by the HIV team. The fellow will triage consults appropriately according to acuity and severity, and distribute them among the team, including the advanced practice practitioners, residents and students. Students will be under the supervision of the ID fellow. The more complex (ICU) patients should be assigned to the fellows at first, then transitioned to APPs when more stable. Because the transition from inpatient to outpatient is so important, oftentimes we continue to follow the patient, at least peripherally, until the patient is discharged from the hospital. </w:t>
      </w:r>
    </w:p>
    <w:p w14:paraId="5CDC8131" w14:textId="724F5774" w:rsidR="00845CF9" w:rsidRPr="00845CF9" w:rsidRDefault="00845CF9" w:rsidP="00845CF9">
      <w:pPr>
        <w:spacing w:before="100" w:beforeAutospacing="1" w:after="100" w:afterAutospacing="1"/>
        <w:rPr>
          <w:rFonts w:ascii="Times" w:eastAsia="Times New Roman" w:hAnsi="Times" w:cs="Times New Roman"/>
          <w:sz w:val="22"/>
          <w:szCs w:val="22"/>
        </w:rPr>
      </w:pPr>
      <w:r w:rsidRPr="00845CF9">
        <w:rPr>
          <w:rFonts w:ascii="Times" w:eastAsia="Times New Roman" w:hAnsi="Times" w:cs="Calibri"/>
          <w:b/>
          <w:bCs/>
          <w:sz w:val="22"/>
          <w:szCs w:val="22"/>
        </w:rPr>
        <w:t xml:space="preserve">Rounding Room: </w:t>
      </w:r>
      <w:r w:rsidRPr="00845CF9">
        <w:rPr>
          <w:rFonts w:ascii="Times" w:eastAsia="Times New Roman" w:hAnsi="Times" w:cs="Calibri"/>
          <w:sz w:val="22"/>
          <w:szCs w:val="22"/>
        </w:rPr>
        <w:t xml:space="preserve">Parkland </w:t>
      </w:r>
      <w:r w:rsidRPr="00FE5DA4">
        <w:rPr>
          <w:rFonts w:ascii="Times" w:eastAsia="Times New Roman" w:hAnsi="Times" w:cs="Calibri"/>
          <w:sz w:val="22"/>
          <w:szCs w:val="22"/>
        </w:rPr>
        <w:t>5</w:t>
      </w:r>
      <w:r w:rsidRPr="00845CF9">
        <w:rPr>
          <w:rFonts w:ascii="Times" w:eastAsia="Times New Roman" w:hAnsi="Times" w:cs="Calibri"/>
          <w:position w:val="10"/>
          <w:sz w:val="22"/>
          <w:szCs w:val="22"/>
        </w:rPr>
        <w:t xml:space="preserve">h </w:t>
      </w:r>
      <w:r w:rsidRPr="00845CF9">
        <w:rPr>
          <w:rFonts w:ascii="Times" w:eastAsia="Times New Roman" w:hAnsi="Times" w:cs="Calibri"/>
          <w:sz w:val="22"/>
          <w:szCs w:val="22"/>
        </w:rPr>
        <w:t xml:space="preserve">floor rounding room: </w:t>
      </w:r>
      <w:r w:rsidRPr="00FE5DA4">
        <w:rPr>
          <w:rFonts w:ascii="Times" w:eastAsia="Times New Roman" w:hAnsi="Times" w:cs="Calibri"/>
          <w:sz w:val="22"/>
          <w:szCs w:val="22"/>
        </w:rPr>
        <w:t>5</w:t>
      </w:r>
      <w:r w:rsidRPr="00845CF9">
        <w:rPr>
          <w:rFonts w:ascii="Times" w:eastAsia="Times New Roman" w:hAnsi="Times" w:cs="Calibri"/>
          <w:sz w:val="22"/>
          <w:szCs w:val="22"/>
        </w:rPr>
        <w:t>.677</w:t>
      </w:r>
      <w:r w:rsidRPr="00FE5DA4">
        <w:rPr>
          <w:rFonts w:ascii="Times" w:eastAsia="Times New Roman" w:hAnsi="Times" w:cs="Calibri"/>
          <w:sz w:val="22"/>
          <w:szCs w:val="22"/>
        </w:rPr>
        <w:t>, please page ID/HIV fellow on call for the HIV service</w:t>
      </w:r>
    </w:p>
    <w:p w14:paraId="12552E0A" w14:textId="19728F28" w:rsidR="00845CF9" w:rsidRPr="00845CF9" w:rsidRDefault="00845CF9" w:rsidP="00845CF9">
      <w:pPr>
        <w:spacing w:before="100" w:beforeAutospacing="1" w:after="100" w:afterAutospacing="1"/>
        <w:rPr>
          <w:rFonts w:ascii="Times" w:eastAsia="Times New Roman" w:hAnsi="Times" w:cs="Times New Roman"/>
          <w:sz w:val="22"/>
          <w:szCs w:val="22"/>
        </w:rPr>
      </w:pPr>
      <w:r w:rsidRPr="00845CF9">
        <w:rPr>
          <w:rFonts w:ascii="Times" w:eastAsia="Times New Roman" w:hAnsi="Times" w:cs="Calibri"/>
          <w:b/>
          <w:bCs/>
          <w:sz w:val="22"/>
          <w:szCs w:val="22"/>
        </w:rPr>
        <w:t xml:space="preserve">Case Management Rounds: </w:t>
      </w:r>
      <w:r w:rsidRPr="00845CF9">
        <w:rPr>
          <w:rFonts w:ascii="Times" w:eastAsia="Times New Roman" w:hAnsi="Times" w:cs="Calibri"/>
          <w:sz w:val="22"/>
          <w:szCs w:val="22"/>
        </w:rPr>
        <w:t xml:space="preserve">Daily at 2 PM in PHHS </w:t>
      </w:r>
      <w:r w:rsidRPr="00FE5DA4">
        <w:rPr>
          <w:rFonts w:ascii="Times" w:eastAsia="Times New Roman" w:hAnsi="Times" w:cs="Calibri"/>
          <w:sz w:val="22"/>
          <w:szCs w:val="22"/>
        </w:rPr>
        <w:t>5.677</w:t>
      </w:r>
      <w:r w:rsidRPr="00845CF9">
        <w:rPr>
          <w:rFonts w:ascii="Times" w:eastAsia="Times New Roman" w:hAnsi="Times" w:cs="Calibri"/>
          <w:sz w:val="22"/>
          <w:szCs w:val="22"/>
        </w:rPr>
        <w:t xml:space="preserve"> with HIV case managers and transitional care RNs </w:t>
      </w:r>
    </w:p>
    <w:p w14:paraId="68D3E50F" w14:textId="77777777" w:rsidR="00845CF9" w:rsidRPr="00845CF9" w:rsidRDefault="00845CF9" w:rsidP="00845CF9">
      <w:pPr>
        <w:spacing w:before="100" w:beforeAutospacing="1" w:after="100" w:afterAutospacing="1"/>
        <w:rPr>
          <w:rFonts w:ascii="Times" w:eastAsia="Times New Roman" w:hAnsi="Times" w:cs="Times New Roman"/>
          <w:sz w:val="22"/>
          <w:szCs w:val="22"/>
        </w:rPr>
      </w:pPr>
      <w:r w:rsidRPr="00845CF9">
        <w:rPr>
          <w:rFonts w:ascii="Times" w:eastAsia="Times New Roman" w:hAnsi="Times" w:cs="Calibri"/>
          <w:b/>
          <w:bCs/>
          <w:sz w:val="22"/>
          <w:szCs w:val="22"/>
        </w:rPr>
        <w:t xml:space="preserve">Note Template: </w:t>
      </w:r>
    </w:p>
    <w:p w14:paraId="24076FD4" w14:textId="77777777" w:rsidR="00845CF9" w:rsidRPr="00845CF9" w:rsidRDefault="00845CF9" w:rsidP="00845CF9">
      <w:pPr>
        <w:numPr>
          <w:ilvl w:val="0"/>
          <w:numId w:val="1"/>
        </w:numPr>
        <w:spacing w:before="100" w:beforeAutospacing="1" w:after="100" w:afterAutospacing="1"/>
        <w:rPr>
          <w:rFonts w:ascii="Times" w:eastAsia="Times New Roman" w:hAnsi="Times" w:cs="Times New Roman"/>
          <w:sz w:val="22"/>
          <w:szCs w:val="22"/>
        </w:rPr>
      </w:pPr>
      <w:r w:rsidRPr="00845CF9">
        <w:rPr>
          <w:rFonts w:ascii="Times" w:eastAsia="Times New Roman" w:hAnsi="Times" w:cs="Calibri"/>
          <w:sz w:val="22"/>
          <w:szCs w:val="22"/>
        </w:rPr>
        <w:t xml:space="preserve">.HIVCONSULT (for new consults) </w:t>
      </w:r>
    </w:p>
    <w:p w14:paraId="4C59E9C3" w14:textId="77777777" w:rsidR="00845CF9" w:rsidRPr="00845CF9" w:rsidRDefault="00845CF9" w:rsidP="00845CF9">
      <w:pPr>
        <w:numPr>
          <w:ilvl w:val="0"/>
          <w:numId w:val="1"/>
        </w:numPr>
        <w:spacing w:before="100" w:beforeAutospacing="1" w:after="100" w:afterAutospacing="1"/>
        <w:rPr>
          <w:rFonts w:ascii="Times" w:eastAsia="Times New Roman" w:hAnsi="Times" w:cs="Times New Roman"/>
          <w:sz w:val="22"/>
          <w:szCs w:val="22"/>
        </w:rPr>
      </w:pPr>
      <w:r w:rsidRPr="00845CF9">
        <w:rPr>
          <w:rFonts w:ascii="Times" w:eastAsia="Times New Roman" w:hAnsi="Times" w:cs="Calibri"/>
          <w:sz w:val="22"/>
          <w:szCs w:val="22"/>
        </w:rPr>
        <w:t xml:space="preserve">.HIVFUTEMPLATE (for follow-up notes) </w:t>
      </w:r>
    </w:p>
    <w:p w14:paraId="369C41B4" w14:textId="77777777" w:rsidR="00845CF9" w:rsidRPr="00FE5DA4" w:rsidRDefault="00845CF9" w:rsidP="00845CF9">
      <w:pPr>
        <w:spacing w:before="100" w:beforeAutospacing="1" w:after="100" w:afterAutospacing="1"/>
        <w:rPr>
          <w:rFonts w:ascii="Times" w:eastAsia="Times New Roman" w:hAnsi="Times" w:cs="Calibri"/>
          <w:sz w:val="22"/>
          <w:szCs w:val="22"/>
        </w:rPr>
      </w:pPr>
      <w:r w:rsidRPr="00845CF9">
        <w:rPr>
          <w:rFonts w:ascii="Times" w:eastAsia="Times New Roman" w:hAnsi="Times" w:cs="Calibri"/>
          <w:b/>
          <w:bCs/>
          <w:sz w:val="22"/>
          <w:szCs w:val="22"/>
        </w:rPr>
        <w:t xml:space="preserve">Parkland Antibiogram: </w:t>
      </w:r>
      <w:r w:rsidRPr="00845CF9">
        <w:rPr>
          <w:rFonts w:ascii="Times" w:eastAsia="Times New Roman" w:hAnsi="Times" w:cs="Calibri"/>
          <w:sz w:val="22"/>
          <w:szCs w:val="22"/>
        </w:rPr>
        <w:t>parklandlab.com</w:t>
      </w:r>
    </w:p>
    <w:p w14:paraId="3069BE33" w14:textId="6EF48B98" w:rsidR="00845CF9" w:rsidRPr="00845CF9" w:rsidRDefault="00845CF9" w:rsidP="00845CF9">
      <w:pPr>
        <w:spacing w:before="100" w:beforeAutospacing="1" w:after="100" w:afterAutospacing="1"/>
        <w:rPr>
          <w:rFonts w:ascii="Times" w:eastAsia="Times New Roman" w:hAnsi="Times" w:cs="Calibri"/>
          <w:sz w:val="22"/>
          <w:szCs w:val="22"/>
        </w:rPr>
      </w:pPr>
      <w:r w:rsidRPr="00845CF9">
        <w:rPr>
          <w:rFonts w:ascii="Times" w:eastAsia="Times New Roman" w:hAnsi="Times" w:cs="Calibri"/>
          <w:b/>
          <w:bCs/>
          <w:sz w:val="22"/>
          <w:szCs w:val="22"/>
        </w:rPr>
        <w:t xml:space="preserve">Rotation objectives: </w:t>
      </w:r>
    </w:p>
    <w:p w14:paraId="63B274A1" w14:textId="77777777" w:rsidR="00845CF9" w:rsidRPr="00845CF9" w:rsidRDefault="00845CF9" w:rsidP="00845CF9">
      <w:pPr>
        <w:numPr>
          <w:ilvl w:val="0"/>
          <w:numId w:val="2"/>
        </w:numPr>
        <w:spacing w:before="100" w:beforeAutospacing="1" w:after="100" w:afterAutospacing="1"/>
        <w:rPr>
          <w:rFonts w:ascii="Times" w:eastAsia="Times New Roman" w:hAnsi="Times" w:cs="Calibri"/>
          <w:sz w:val="22"/>
          <w:szCs w:val="22"/>
        </w:rPr>
      </w:pPr>
      <w:r w:rsidRPr="00845CF9">
        <w:rPr>
          <w:rFonts w:ascii="Times" w:eastAsia="Times New Roman" w:hAnsi="Times" w:cs="Calibri"/>
          <w:sz w:val="22"/>
          <w:szCs w:val="22"/>
        </w:rPr>
        <w:t xml:space="preserve">Gain competency in assessing patients hospitalized with HIV/AIDS, articulate differential diagnosis, and devise a workup plan and treatment plan </w:t>
      </w:r>
    </w:p>
    <w:p w14:paraId="503136FA" w14:textId="77777777" w:rsidR="00845CF9" w:rsidRPr="00845CF9" w:rsidRDefault="00845CF9" w:rsidP="00845CF9">
      <w:pPr>
        <w:numPr>
          <w:ilvl w:val="0"/>
          <w:numId w:val="2"/>
        </w:numPr>
        <w:spacing w:before="100" w:beforeAutospacing="1" w:after="100" w:afterAutospacing="1"/>
        <w:rPr>
          <w:rFonts w:ascii="Times" w:eastAsia="Times New Roman" w:hAnsi="Times" w:cs="Calibri"/>
          <w:sz w:val="22"/>
          <w:szCs w:val="22"/>
        </w:rPr>
      </w:pPr>
      <w:r w:rsidRPr="00845CF9">
        <w:rPr>
          <w:rFonts w:ascii="Times" w:eastAsia="Times New Roman" w:hAnsi="Times" w:cs="Calibri"/>
          <w:sz w:val="22"/>
          <w:szCs w:val="22"/>
        </w:rPr>
        <w:t xml:space="preserve">Gain competency in managing opportunistic infections in AIDS patients. </w:t>
      </w:r>
    </w:p>
    <w:p w14:paraId="0CF376DC" w14:textId="29ECF961" w:rsidR="00845CF9" w:rsidRPr="00845CF9" w:rsidRDefault="00845CF9" w:rsidP="00740008">
      <w:pPr>
        <w:numPr>
          <w:ilvl w:val="0"/>
          <w:numId w:val="2"/>
        </w:numPr>
        <w:spacing w:before="100" w:beforeAutospacing="1" w:after="100" w:afterAutospacing="1"/>
        <w:rPr>
          <w:rFonts w:ascii="Times" w:eastAsia="Times New Roman" w:hAnsi="Times" w:cs="Calibri"/>
          <w:sz w:val="22"/>
          <w:szCs w:val="22"/>
        </w:rPr>
      </w:pPr>
      <w:r w:rsidRPr="00845CF9">
        <w:rPr>
          <w:rFonts w:ascii="Times" w:eastAsia="Times New Roman" w:hAnsi="Times" w:cs="Calibri"/>
          <w:sz w:val="22"/>
          <w:szCs w:val="22"/>
        </w:rPr>
        <w:lastRenderedPageBreak/>
        <w:t xml:space="preserve">Learn to address patient with HIV infection from a multidisciplinary standpoint, in collaboration with the HIV transitional care team. </w:t>
      </w:r>
    </w:p>
    <w:p w14:paraId="6455C1A1" w14:textId="77777777" w:rsidR="00740008" w:rsidRPr="00FE5DA4" w:rsidRDefault="00845CF9" w:rsidP="00845CF9">
      <w:pPr>
        <w:numPr>
          <w:ilvl w:val="0"/>
          <w:numId w:val="2"/>
        </w:numPr>
        <w:spacing w:before="100" w:beforeAutospacing="1" w:after="100" w:afterAutospacing="1"/>
        <w:rPr>
          <w:rFonts w:ascii="Times" w:eastAsia="Times New Roman" w:hAnsi="Times" w:cs="Calibri"/>
          <w:sz w:val="22"/>
          <w:szCs w:val="22"/>
        </w:rPr>
      </w:pPr>
      <w:r w:rsidRPr="00845CF9">
        <w:rPr>
          <w:rFonts w:ascii="Times" w:eastAsia="Times New Roman" w:hAnsi="Times" w:cs="Calibri"/>
          <w:sz w:val="22"/>
          <w:szCs w:val="22"/>
        </w:rPr>
        <w:t xml:space="preserve">Develop collegial relationship with primary team while assisting them to manage potentially complicated patients. </w:t>
      </w:r>
    </w:p>
    <w:p w14:paraId="48923144" w14:textId="4C411B67" w:rsidR="00845CF9" w:rsidRPr="00845CF9" w:rsidRDefault="00845CF9" w:rsidP="00740008">
      <w:pPr>
        <w:spacing w:before="100" w:beforeAutospacing="1" w:after="100" w:afterAutospacing="1"/>
        <w:rPr>
          <w:rFonts w:ascii="Times" w:eastAsia="Times New Roman" w:hAnsi="Times" w:cs="Calibri"/>
          <w:sz w:val="22"/>
          <w:szCs w:val="22"/>
        </w:rPr>
      </w:pPr>
      <w:r w:rsidRPr="00845CF9">
        <w:rPr>
          <w:rFonts w:ascii="Times" w:eastAsia="Times New Roman" w:hAnsi="Times" w:cs="Calibri"/>
          <w:b/>
          <w:bCs/>
          <w:sz w:val="22"/>
          <w:szCs w:val="22"/>
        </w:rPr>
        <w:t>Rotation Expectations (</w:t>
      </w:r>
      <w:r w:rsidR="00740008" w:rsidRPr="00FE5DA4">
        <w:rPr>
          <w:rFonts w:ascii="Times" w:eastAsia="Times New Roman" w:hAnsi="Times" w:cs="Calibri"/>
          <w:b/>
          <w:bCs/>
          <w:sz w:val="22"/>
          <w:szCs w:val="22"/>
        </w:rPr>
        <w:t>Residents</w:t>
      </w:r>
      <w:r w:rsidRPr="00845CF9">
        <w:rPr>
          <w:rFonts w:ascii="Times" w:eastAsia="Times New Roman" w:hAnsi="Times" w:cs="Calibri"/>
          <w:b/>
          <w:bCs/>
          <w:sz w:val="22"/>
          <w:szCs w:val="22"/>
        </w:rPr>
        <w:t xml:space="preserve">): </w:t>
      </w:r>
    </w:p>
    <w:p w14:paraId="2B78D200" w14:textId="77777777" w:rsidR="00845CF9" w:rsidRPr="00845CF9" w:rsidRDefault="00845CF9" w:rsidP="00845CF9">
      <w:pPr>
        <w:numPr>
          <w:ilvl w:val="0"/>
          <w:numId w:val="3"/>
        </w:numPr>
        <w:spacing w:before="100" w:beforeAutospacing="1" w:after="100" w:afterAutospacing="1"/>
        <w:rPr>
          <w:rFonts w:ascii="Times" w:eastAsia="Times New Roman" w:hAnsi="Times" w:cs="Calibri"/>
          <w:sz w:val="22"/>
          <w:szCs w:val="22"/>
        </w:rPr>
      </w:pPr>
      <w:r w:rsidRPr="00845CF9">
        <w:rPr>
          <w:rFonts w:ascii="Times" w:eastAsia="Times New Roman" w:hAnsi="Times" w:cs="Calibri"/>
          <w:sz w:val="22"/>
          <w:szCs w:val="22"/>
        </w:rPr>
        <w:t xml:space="preserve">You are expected to round with the consult team from Monday through Friday. </w:t>
      </w:r>
    </w:p>
    <w:p w14:paraId="5631CC1A" w14:textId="4ED928E5" w:rsidR="00845CF9" w:rsidRPr="00845CF9" w:rsidRDefault="00845CF9" w:rsidP="00740008">
      <w:pPr>
        <w:numPr>
          <w:ilvl w:val="0"/>
          <w:numId w:val="3"/>
        </w:numPr>
        <w:spacing w:before="100" w:beforeAutospacing="1" w:after="100" w:afterAutospacing="1"/>
        <w:rPr>
          <w:rFonts w:ascii="Times" w:eastAsia="Times New Roman" w:hAnsi="Times" w:cs="Calibri"/>
          <w:sz w:val="22"/>
          <w:szCs w:val="22"/>
        </w:rPr>
      </w:pPr>
      <w:r w:rsidRPr="00845CF9">
        <w:rPr>
          <w:rFonts w:ascii="Times" w:eastAsia="Times New Roman" w:hAnsi="Times" w:cs="Calibri"/>
          <w:sz w:val="22"/>
          <w:szCs w:val="22"/>
        </w:rPr>
        <w:t>You are expected to attend ID division didactic and case conferences during your rotation.</w:t>
      </w:r>
      <w:r w:rsidR="004D29A1" w:rsidRPr="00FE5DA4">
        <w:rPr>
          <w:rFonts w:ascii="Times" w:eastAsia="Times New Roman" w:hAnsi="Times" w:cs="Calibri"/>
          <w:sz w:val="22"/>
          <w:szCs w:val="22"/>
        </w:rPr>
        <w:t xml:space="preserve"> Your fellow will help link you to those.</w:t>
      </w:r>
      <w:r w:rsidRPr="00845CF9">
        <w:rPr>
          <w:rFonts w:ascii="Times" w:eastAsia="Times New Roman" w:hAnsi="Times" w:cs="Calibri"/>
          <w:sz w:val="22"/>
          <w:szCs w:val="22"/>
        </w:rPr>
        <w:t xml:space="preserve"> You will also be excused for mandatory conferences as part of the IM clerkship. </w:t>
      </w:r>
    </w:p>
    <w:p w14:paraId="4F6FDA4F" w14:textId="68386EBD" w:rsidR="00845CF9" w:rsidRPr="00845CF9" w:rsidRDefault="00845CF9" w:rsidP="00845CF9">
      <w:pPr>
        <w:numPr>
          <w:ilvl w:val="0"/>
          <w:numId w:val="3"/>
        </w:numPr>
        <w:spacing w:before="100" w:beforeAutospacing="1" w:after="100" w:afterAutospacing="1"/>
        <w:rPr>
          <w:rFonts w:ascii="Times" w:eastAsia="Times New Roman" w:hAnsi="Times" w:cs="Calibri"/>
          <w:sz w:val="22"/>
          <w:szCs w:val="22"/>
        </w:rPr>
      </w:pPr>
      <w:r w:rsidRPr="00845CF9">
        <w:rPr>
          <w:rFonts w:ascii="Times" w:eastAsia="Times New Roman" w:hAnsi="Times" w:cs="Calibri"/>
          <w:sz w:val="22"/>
          <w:szCs w:val="22"/>
        </w:rPr>
        <w:t xml:space="preserve">You will be attending multidisciplinary </w:t>
      </w:r>
      <w:r w:rsidR="00740008" w:rsidRPr="00FE5DA4">
        <w:rPr>
          <w:rFonts w:ascii="Times" w:eastAsia="Times New Roman" w:hAnsi="Times" w:cs="Calibri"/>
          <w:sz w:val="22"/>
          <w:szCs w:val="22"/>
        </w:rPr>
        <w:t xml:space="preserve">(case management) </w:t>
      </w:r>
      <w:r w:rsidRPr="00845CF9">
        <w:rPr>
          <w:rFonts w:ascii="Times" w:eastAsia="Times New Roman" w:hAnsi="Times" w:cs="Calibri"/>
          <w:sz w:val="22"/>
          <w:szCs w:val="22"/>
        </w:rPr>
        <w:t>rounds</w:t>
      </w:r>
      <w:r w:rsidR="00740008" w:rsidRPr="00FE5DA4">
        <w:rPr>
          <w:rFonts w:ascii="Times" w:eastAsia="Times New Roman" w:hAnsi="Times" w:cs="Calibri"/>
          <w:sz w:val="22"/>
          <w:szCs w:val="22"/>
        </w:rPr>
        <w:t xml:space="preserve"> </w:t>
      </w:r>
      <w:r w:rsidRPr="00845CF9">
        <w:rPr>
          <w:rFonts w:ascii="Times" w:eastAsia="Times New Roman" w:hAnsi="Times" w:cs="Calibri"/>
          <w:sz w:val="22"/>
          <w:szCs w:val="22"/>
        </w:rPr>
        <w:t xml:space="preserve">daily at 2 pm </w:t>
      </w:r>
    </w:p>
    <w:p w14:paraId="1116F2E0" w14:textId="201C7EC4" w:rsidR="00845CF9" w:rsidRPr="00845CF9" w:rsidRDefault="00845CF9" w:rsidP="00845CF9">
      <w:pPr>
        <w:spacing w:before="100" w:beforeAutospacing="1" w:after="100" w:afterAutospacing="1"/>
        <w:rPr>
          <w:rFonts w:ascii="Times" w:eastAsia="Times New Roman" w:hAnsi="Times" w:cs="Times New Roman"/>
          <w:sz w:val="22"/>
          <w:szCs w:val="22"/>
        </w:rPr>
      </w:pPr>
      <w:r w:rsidRPr="00845CF9">
        <w:rPr>
          <w:rFonts w:ascii="Times" w:eastAsia="Times New Roman" w:hAnsi="Times" w:cs="Calibri"/>
          <w:b/>
          <w:bCs/>
          <w:sz w:val="22"/>
          <w:szCs w:val="22"/>
        </w:rPr>
        <w:t xml:space="preserve">Typical day for </w:t>
      </w:r>
      <w:r w:rsidR="004D29A1" w:rsidRPr="00FE5DA4">
        <w:rPr>
          <w:rFonts w:ascii="Times" w:eastAsia="Times New Roman" w:hAnsi="Times" w:cs="Calibri"/>
          <w:b/>
          <w:bCs/>
          <w:sz w:val="22"/>
          <w:szCs w:val="22"/>
        </w:rPr>
        <w:t>residents</w:t>
      </w:r>
      <w:r w:rsidRPr="00845CF9">
        <w:rPr>
          <w:rFonts w:ascii="Times" w:eastAsia="Times New Roman" w:hAnsi="Times" w:cs="Calibri"/>
          <w:b/>
          <w:bCs/>
          <w:sz w:val="22"/>
          <w:szCs w:val="22"/>
        </w:rPr>
        <w:t xml:space="preserve">: </w:t>
      </w:r>
    </w:p>
    <w:p w14:paraId="38703D9D" w14:textId="77777777" w:rsidR="00845CF9" w:rsidRPr="00845CF9" w:rsidRDefault="00845CF9" w:rsidP="00845CF9">
      <w:pPr>
        <w:spacing w:before="100" w:beforeAutospacing="1" w:after="100" w:afterAutospacing="1"/>
        <w:rPr>
          <w:rFonts w:ascii="Times" w:eastAsia="Times New Roman" w:hAnsi="Times" w:cs="Times New Roman"/>
          <w:sz w:val="22"/>
          <w:szCs w:val="22"/>
        </w:rPr>
      </w:pPr>
      <w:r w:rsidRPr="00845CF9">
        <w:rPr>
          <w:rFonts w:ascii="Times" w:eastAsia="Times New Roman" w:hAnsi="Times" w:cs="Calibri"/>
          <w:sz w:val="22"/>
          <w:szCs w:val="22"/>
        </w:rPr>
        <w:t xml:space="preserve">1. Get to Parkland early enough to evaluate and write the SOAP notes on your old patients before rounding with the fellow and attending. </w:t>
      </w:r>
      <w:r w:rsidRPr="00845CF9">
        <w:rPr>
          <w:rFonts w:ascii="Times" w:eastAsia="Times New Roman" w:hAnsi="Times" w:cs="Calibri"/>
          <w:b/>
          <w:bCs/>
          <w:sz w:val="22"/>
          <w:szCs w:val="22"/>
        </w:rPr>
        <w:t xml:space="preserve">Notes should be in process before rounding with the team but can be pended without being finalized until fellow and attending recommendations can be incorporated. </w:t>
      </w:r>
    </w:p>
    <w:p w14:paraId="44F87964" w14:textId="0BB27D53" w:rsidR="00845CF9" w:rsidRPr="00845CF9" w:rsidRDefault="00845CF9" w:rsidP="00845CF9">
      <w:pPr>
        <w:spacing w:before="100" w:beforeAutospacing="1" w:after="100" w:afterAutospacing="1"/>
        <w:rPr>
          <w:rFonts w:ascii="Times" w:eastAsia="Times New Roman" w:hAnsi="Times" w:cs="Times New Roman"/>
          <w:sz w:val="22"/>
          <w:szCs w:val="22"/>
        </w:rPr>
      </w:pPr>
      <w:r w:rsidRPr="00845CF9">
        <w:rPr>
          <w:rFonts w:ascii="Times" w:eastAsia="Times New Roman" w:hAnsi="Times" w:cs="Calibri"/>
          <w:sz w:val="22"/>
          <w:szCs w:val="22"/>
        </w:rPr>
        <w:t xml:space="preserve">2. As new consults arrive during the morning, the fellow will assign new consults for you to fully evaluate and then discuss the management with the fellow. </w:t>
      </w:r>
      <w:r w:rsidRPr="00845CF9">
        <w:rPr>
          <w:rFonts w:ascii="Times" w:eastAsia="Times New Roman" w:hAnsi="Times" w:cs="Calibri"/>
          <w:b/>
          <w:bCs/>
          <w:sz w:val="22"/>
          <w:szCs w:val="22"/>
        </w:rPr>
        <w:t xml:space="preserve">On at least three patients per week, you need to write a new consult H&amp;P. </w:t>
      </w:r>
      <w:r w:rsidRPr="00845CF9">
        <w:rPr>
          <w:rFonts w:ascii="Times" w:eastAsia="Times New Roman" w:hAnsi="Times" w:cs="Calibri"/>
          <w:sz w:val="22"/>
          <w:szCs w:val="22"/>
        </w:rPr>
        <w:t xml:space="preserve">On those patients, try to avoid looking at the </w:t>
      </w:r>
      <w:r w:rsidR="00707371" w:rsidRPr="00FE5DA4">
        <w:rPr>
          <w:rFonts w:ascii="Times" w:eastAsia="Times New Roman" w:hAnsi="Times" w:cs="Calibri"/>
          <w:sz w:val="22"/>
          <w:szCs w:val="22"/>
        </w:rPr>
        <w:t>fellow</w:t>
      </w:r>
      <w:r w:rsidRPr="00845CF9">
        <w:rPr>
          <w:rFonts w:ascii="Times" w:eastAsia="Times New Roman" w:hAnsi="Times" w:cs="Calibri"/>
          <w:sz w:val="22"/>
          <w:szCs w:val="22"/>
        </w:rPr>
        <w:t xml:space="preserve"> consult H&amp;P until after you have seen the patient and written your own H&amp;P. </w:t>
      </w:r>
    </w:p>
    <w:p w14:paraId="0B55C481" w14:textId="77777777" w:rsidR="00845CF9" w:rsidRPr="00845CF9" w:rsidRDefault="00845CF9" w:rsidP="00845CF9">
      <w:pPr>
        <w:spacing w:before="100" w:beforeAutospacing="1" w:after="100" w:afterAutospacing="1"/>
        <w:rPr>
          <w:rFonts w:ascii="Times" w:eastAsia="Times New Roman" w:hAnsi="Times" w:cs="Times New Roman"/>
          <w:sz w:val="22"/>
          <w:szCs w:val="22"/>
        </w:rPr>
      </w:pPr>
      <w:r w:rsidRPr="00845CF9">
        <w:rPr>
          <w:rFonts w:ascii="Times" w:eastAsia="Times New Roman" w:hAnsi="Times" w:cs="Calibri"/>
          <w:sz w:val="22"/>
          <w:szCs w:val="22"/>
        </w:rPr>
        <w:t xml:space="preserve">3. Make sure that you know everything about your patients (e.g., labs; medications, including routes and dosages). Read about the medical problems so that you can answer any questions and formulate a plan for what you want to do for that patient that day. </w:t>
      </w:r>
      <w:r w:rsidRPr="00845CF9">
        <w:rPr>
          <w:rFonts w:ascii="Times" w:eastAsia="Times New Roman" w:hAnsi="Times" w:cs="Calibri"/>
          <w:b/>
          <w:bCs/>
          <w:sz w:val="22"/>
          <w:szCs w:val="22"/>
        </w:rPr>
        <w:t xml:space="preserve">Refer to the attached handouts for the specifics to focus on for taking a good ID history and writing a daily ID progress note. </w:t>
      </w:r>
    </w:p>
    <w:p w14:paraId="74602DCD" w14:textId="77777777" w:rsidR="00845CF9" w:rsidRPr="00845CF9" w:rsidRDefault="00845CF9" w:rsidP="00845CF9">
      <w:pPr>
        <w:spacing w:before="100" w:beforeAutospacing="1" w:after="100" w:afterAutospacing="1"/>
        <w:rPr>
          <w:rFonts w:ascii="Times" w:eastAsia="Times New Roman" w:hAnsi="Times" w:cs="Times New Roman"/>
          <w:sz w:val="22"/>
          <w:szCs w:val="22"/>
        </w:rPr>
      </w:pPr>
      <w:r w:rsidRPr="00845CF9">
        <w:rPr>
          <w:rFonts w:ascii="Times" w:eastAsia="Times New Roman" w:hAnsi="Times" w:cs="Calibri"/>
          <w:sz w:val="22"/>
          <w:szCs w:val="22"/>
        </w:rPr>
        <w:t xml:space="preserve">4. Check out with your fellow or attending before leaving for the day to see if there are any other tasks to be done on your patients. Remember that these are also your patients, and you should take ownership for them. </w:t>
      </w:r>
    </w:p>
    <w:p w14:paraId="28CA005E" w14:textId="77777777" w:rsidR="00845CF9" w:rsidRPr="00845CF9" w:rsidRDefault="00845CF9" w:rsidP="00845CF9">
      <w:pPr>
        <w:spacing w:before="100" w:beforeAutospacing="1" w:after="100" w:afterAutospacing="1"/>
        <w:rPr>
          <w:rFonts w:ascii="Times" w:eastAsia="Times New Roman" w:hAnsi="Times" w:cs="Times New Roman"/>
          <w:sz w:val="22"/>
          <w:szCs w:val="22"/>
        </w:rPr>
      </w:pPr>
      <w:r w:rsidRPr="00845CF9">
        <w:rPr>
          <w:rFonts w:ascii="Times" w:eastAsia="Times New Roman" w:hAnsi="Times" w:cs="Calibri"/>
          <w:sz w:val="22"/>
          <w:szCs w:val="22"/>
        </w:rPr>
        <w:t xml:space="preserve">5. </w:t>
      </w:r>
      <w:r w:rsidRPr="00845CF9">
        <w:rPr>
          <w:rFonts w:ascii="Times" w:eastAsia="Times New Roman" w:hAnsi="Times" w:cs="Calibri"/>
          <w:b/>
          <w:bCs/>
          <w:sz w:val="22"/>
          <w:szCs w:val="22"/>
        </w:rPr>
        <w:t xml:space="preserve">Print out one consult H&amp;P from your first week and turn it into your attending for feedback. </w:t>
      </w:r>
      <w:r w:rsidRPr="00845CF9">
        <w:rPr>
          <w:rFonts w:ascii="Times" w:eastAsia="Times New Roman" w:hAnsi="Times" w:cs="Calibri"/>
          <w:sz w:val="22"/>
          <w:szCs w:val="22"/>
        </w:rPr>
        <w:t xml:space="preserve">DO NOT wait for your attending to ask for the H&amp;P! </w:t>
      </w:r>
    </w:p>
    <w:p w14:paraId="687CE964" w14:textId="77777777" w:rsidR="00845CF9" w:rsidRPr="00845CF9" w:rsidRDefault="00845CF9" w:rsidP="00845CF9">
      <w:pPr>
        <w:spacing w:before="100" w:beforeAutospacing="1" w:after="100" w:afterAutospacing="1"/>
        <w:rPr>
          <w:rFonts w:ascii="Times" w:eastAsia="Times New Roman" w:hAnsi="Times" w:cs="Times New Roman"/>
          <w:sz w:val="22"/>
          <w:szCs w:val="22"/>
        </w:rPr>
      </w:pPr>
      <w:r w:rsidRPr="00845CF9">
        <w:rPr>
          <w:rFonts w:ascii="Times" w:eastAsia="Times New Roman" w:hAnsi="Times" w:cs="Calibri"/>
          <w:b/>
          <w:bCs/>
          <w:sz w:val="22"/>
          <w:szCs w:val="22"/>
        </w:rPr>
        <w:t xml:space="preserve">Educational Resources </w:t>
      </w:r>
    </w:p>
    <w:p w14:paraId="1B1299F7" w14:textId="77777777" w:rsidR="00845CF9" w:rsidRPr="00845CF9" w:rsidRDefault="00845CF9" w:rsidP="00845CF9">
      <w:pPr>
        <w:numPr>
          <w:ilvl w:val="0"/>
          <w:numId w:val="4"/>
        </w:numPr>
        <w:spacing w:before="100" w:beforeAutospacing="1" w:after="100" w:afterAutospacing="1"/>
        <w:rPr>
          <w:rFonts w:ascii="Times" w:eastAsia="Times New Roman" w:hAnsi="Times" w:cs="Calibri"/>
          <w:sz w:val="22"/>
          <w:szCs w:val="22"/>
        </w:rPr>
      </w:pPr>
      <w:r w:rsidRPr="00845CF9">
        <w:rPr>
          <w:rFonts w:ascii="Times" w:eastAsia="Times New Roman" w:hAnsi="Times" w:cs="Calibri"/>
          <w:sz w:val="22"/>
          <w:szCs w:val="22"/>
        </w:rPr>
        <w:t>Read about your patients by looking up current articles on their disease process. Good resources for HIV include: the Department of Health and Human Services Guidelines (</w:t>
      </w:r>
      <w:r w:rsidRPr="00845CF9">
        <w:rPr>
          <w:rFonts w:ascii="Times" w:eastAsia="Times New Roman" w:hAnsi="Times" w:cs="Calibri"/>
          <w:color w:val="0260BF"/>
          <w:sz w:val="22"/>
          <w:szCs w:val="22"/>
        </w:rPr>
        <w:t>https://aidsinfo.nih.gov/guidelines</w:t>
      </w:r>
      <w:r w:rsidRPr="00845CF9">
        <w:rPr>
          <w:rFonts w:ascii="Times" w:eastAsia="Times New Roman" w:hAnsi="Times" w:cs="Calibri"/>
          <w:sz w:val="22"/>
          <w:szCs w:val="22"/>
        </w:rPr>
        <w:t xml:space="preserve">), the CDC reference on HIV </w:t>
      </w:r>
      <w:r w:rsidRPr="00845CF9">
        <w:rPr>
          <w:rFonts w:ascii="Times" w:eastAsia="Times New Roman" w:hAnsi="Times" w:cs="Calibri"/>
          <w:color w:val="0260BF"/>
          <w:sz w:val="22"/>
          <w:szCs w:val="22"/>
        </w:rPr>
        <w:t xml:space="preserve">https://www.cdc.gov/hiv/default.html </w:t>
      </w:r>
      <w:r w:rsidRPr="00845CF9">
        <w:rPr>
          <w:rFonts w:ascii="Times" w:eastAsia="Times New Roman" w:hAnsi="Times" w:cs="Calibri"/>
          <w:sz w:val="22"/>
          <w:szCs w:val="22"/>
        </w:rPr>
        <w:t xml:space="preserve">and the Johns Hopkins Guide to HIV. </w:t>
      </w:r>
    </w:p>
    <w:p w14:paraId="33A95D24" w14:textId="77777777" w:rsidR="00845CF9" w:rsidRPr="00845CF9" w:rsidRDefault="00845CF9" w:rsidP="00845CF9">
      <w:pPr>
        <w:numPr>
          <w:ilvl w:val="0"/>
          <w:numId w:val="4"/>
        </w:numPr>
        <w:spacing w:before="100" w:beforeAutospacing="1" w:after="100" w:afterAutospacing="1"/>
        <w:rPr>
          <w:rFonts w:ascii="Times" w:eastAsia="Times New Roman" w:hAnsi="Times" w:cs="Calibri"/>
          <w:sz w:val="22"/>
          <w:szCs w:val="22"/>
        </w:rPr>
      </w:pPr>
      <w:r w:rsidRPr="00845CF9">
        <w:rPr>
          <w:rFonts w:ascii="Times" w:eastAsia="Times New Roman" w:hAnsi="Times" w:cs="Calibri"/>
          <w:sz w:val="22"/>
          <w:szCs w:val="22"/>
        </w:rPr>
        <w:t xml:space="preserve">Good general ID resources include the Hopkins Antibiotic Guide (available in book and smartphone app), Infectious Diseases: A Clinical Short Course by Southwick, or relevant chapters in Mandell’s Principles and Practice of ID. </w:t>
      </w:r>
    </w:p>
    <w:p w14:paraId="036701B4" w14:textId="77777777" w:rsidR="00845CF9" w:rsidRPr="00845CF9" w:rsidRDefault="00845CF9" w:rsidP="00845CF9">
      <w:pPr>
        <w:numPr>
          <w:ilvl w:val="0"/>
          <w:numId w:val="4"/>
        </w:numPr>
        <w:spacing w:before="100" w:beforeAutospacing="1" w:after="100" w:afterAutospacing="1"/>
        <w:rPr>
          <w:rFonts w:ascii="Times" w:eastAsia="Times New Roman" w:hAnsi="Times" w:cs="Calibri"/>
          <w:sz w:val="22"/>
          <w:szCs w:val="22"/>
        </w:rPr>
      </w:pPr>
      <w:r w:rsidRPr="00845CF9">
        <w:rPr>
          <w:rFonts w:ascii="Times" w:eastAsia="Times New Roman" w:hAnsi="Times" w:cs="Calibri"/>
          <w:sz w:val="22"/>
          <w:szCs w:val="22"/>
        </w:rPr>
        <w:t xml:space="preserve">Other good review articles include: </w:t>
      </w:r>
    </w:p>
    <w:p w14:paraId="5112EE76" w14:textId="1F3F225F" w:rsidR="00845CF9" w:rsidRPr="00845CF9" w:rsidRDefault="00845CF9" w:rsidP="000A2BD6">
      <w:pPr>
        <w:numPr>
          <w:ilvl w:val="1"/>
          <w:numId w:val="4"/>
        </w:numPr>
        <w:spacing w:before="100" w:beforeAutospacing="1" w:after="100" w:afterAutospacing="1"/>
        <w:rPr>
          <w:rFonts w:ascii="Times" w:eastAsia="Times New Roman" w:hAnsi="Times" w:cs="Calibri"/>
          <w:sz w:val="22"/>
          <w:szCs w:val="22"/>
        </w:rPr>
      </w:pPr>
      <w:r w:rsidRPr="00845CF9">
        <w:rPr>
          <w:rFonts w:ascii="Times" w:eastAsia="Times New Roman" w:hAnsi="Times" w:cs="Calibri"/>
          <w:sz w:val="22"/>
          <w:szCs w:val="22"/>
        </w:rPr>
        <w:t xml:space="preserve">“HIV Treatment and Prevention: An Overview of Recommendations from the 2016 IAS–USA Antiretroviral Guidelines Panel.” </w:t>
      </w:r>
      <w:r w:rsidRPr="00845CF9">
        <w:rPr>
          <w:rFonts w:ascii="Times" w:eastAsia="Times New Roman" w:hAnsi="Times" w:cs="Calibri"/>
          <w:i/>
          <w:iCs/>
          <w:sz w:val="22"/>
          <w:szCs w:val="22"/>
        </w:rPr>
        <w:t xml:space="preserve">Topics in Antiviral Medicine. </w:t>
      </w:r>
      <w:r w:rsidRPr="00845CF9">
        <w:rPr>
          <w:rFonts w:ascii="Times" w:eastAsia="Times New Roman" w:hAnsi="Times" w:cs="Calibri"/>
          <w:sz w:val="22"/>
          <w:szCs w:val="22"/>
        </w:rPr>
        <w:t xml:space="preserve">2017; 25(1):17-24. </w:t>
      </w:r>
    </w:p>
    <w:p w14:paraId="5E52FA5C" w14:textId="77777777" w:rsidR="00845CF9" w:rsidRPr="00845CF9" w:rsidRDefault="00845CF9" w:rsidP="00845CF9">
      <w:pPr>
        <w:numPr>
          <w:ilvl w:val="1"/>
          <w:numId w:val="4"/>
        </w:numPr>
        <w:spacing w:before="100" w:beforeAutospacing="1" w:after="100" w:afterAutospacing="1"/>
        <w:rPr>
          <w:rFonts w:ascii="Times" w:eastAsia="Times New Roman" w:hAnsi="Times" w:cs="Calibri"/>
          <w:sz w:val="22"/>
          <w:szCs w:val="22"/>
        </w:rPr>
      </w:pPr>
      <w:r w:rsidRPr="00845CF9">
        <w:rPr>
          <w:rFonts w:ascii="Times" w:eastAsia="Times New Roman" w:hAnsi="Times" w:cs="Calibri"/>
          <w:sz w:val="22"/>
          <w:szCs w:val="22"/>
        </w:rPr>
        <w:lastRenderedPageBreak/>
        <w:t xml:space="preserve">“Current status and prospects of HIV treatment.” Current Opinion in Virology 2016, 18:50–56. </w:t>
      </w:r>
    </w:p>
    <w:p w14:paraId="78870CCF" w14:textId="3DC9251F" w:rsidR="004D3075" w:rsidRPr="00FE5DA4" w:rsidRDefault="00845CF9" w:rsidP="00510F31">
      <w:pPr>
        <w:numPr>
          <w:ilvl w:val="1"/>
          <w:numId w:val="4"/>
        </w:numPr>
        <w:spacing w:before="100" w:beforeAutospacing="1" w:after="100" w:afterAutospacing="1"/>
        <w:rPr>
          <w:rFonts w:ascii="Times" w:hAnsi="Times"/>
          <w:sz w:val="22"/>
          <w:szCs w:val="22"/>
        </w:rPr>
      </w:pPr>
      <w:r w:rsidRPr="00845CF9">
        <w:rPr>
          <w:rFonts w:ascii="Times" w:eastAsia="Times New Roman" w:hAnsi="Times" w:cs="Calibri"/>
          <w:sz w:val="22"/>
          <w:szCs w:val="22"/>
        </w:rPr>
        <w:t>“Antiretroviral Drugs for Treatment and Prevention of HIV Infection in Adults</w:t>
      </w:r>
      <w:r w:rsidRPr="00845CF9">
        <w:rPr>
          <w:rFonts w:ascii="Times" w:eastAsia="Times New Roman" w:hAnsi="Times" w:cs="Calibri"/>
          <w:b/>
          <w:bCs/>
          <w:sz w:val="22"/>
          <w:szCs w:val="22"/>
        </w:rPr>
        <w:t xml:space="preserve">” </w:t>
      </w:r>
      <w:r w:rsidRPr="00845CF9">
        <w:rPr>
          <w:rFonts w:ascii="Times" w:eastAsia="Times New Roman" w:hAnsi="Times" w:cs="Calibri"/>
          <w:sz w:val="22"/>
          <w:szCs w:val="22"/>
        </w:rPr>
        <w:t>JAMA. 2016 July 12; 316(2): 191–210</w:t>
      </w:r>
      <w:r w:rsidR="00510F31" w:rsidRPr="00FE5DA4">
        <w:rPr>
          <w:rFonts w:ascii="Times" w:eastAsia="Times New Roman" w:hAnsi="Times" w:cs="Calibri"/>
          <w:sz w:val="22"/>
          <w:szCs w:val="22"/>
        </w:rPr>
        <w:t xml:space="preserve">. </w:t>
      </w:r>
    </w:p>
    <w:p w14:paraId="68A1F724" w14:textId="60C9A431" w:rsidR="00510F31" w:rsidRPr="00FE5DA4" w:rsidRDefault="00510F31" w:rsidP="00510F31">
      <w:pPr>
        <w:spacing w:before="100" w:beforeAutospacing="1" w:after="100" w:afterAutospacing="1"/>
        <w:rPr>
          <w:rFonts w:ascii="Times" w:eastAsia="Times New Roman" w:hAnsi="Times" w:cs="Calibri"/>
          <w:b/>
          <w:bCs/>
          <w:sz w:val="22"/>
          <w:szCs w:val="22"/>
        </w:rPr>
      </w:pPr>
      <w:r w:rsidRPr="00FE5DA4">
        <w:rPr>
          <w:rFonts w:ascii="Times" w:eastAsia="Times New Roman" w:hAnsi="Times" w:cs="Calibri"/>
          <w:b/>
          <w:bCs/>
          <w:sz w:val="22"/>
          <w:szCs w:val="22"/>
        </w:rPr>
        <w:t xml:space="preserve">ID conferences and IM clerkship mandatory lectures </w:t>
      </w:r>
    </w:p>
    <w:tbl>
      <w:tblPr>
        <w:tblStyle w:val="TableGrid"/>
        <w:tblW w:w="0" w:type="auto"/>
        <w:tblLook w:val="04A0" w:firstRow="1" w:lastRow="0" w:firstColumn="1" w:lastColumn="0" w:noHBand="0" w:noVBand="1"/>
      </w:tblPr>
      <w:tblGrid>
        <w:gridCol w:w="3116"/>
        <w:gridCol w:w="3117"/>
        <w:gridCol w:w="3117"/>
      </w:tblGrid>
      <w:tr w:rsidR="00510F31" w:rsidRPr="00FE5DA4" w14:paraId="71011FFE" w14:textId="77777777" w:rsidTr="00510F31">
        <w:tc>
          <w:tcPr>
            <w:tcW w:w="3116" w:type="dxa"/>
          </w:tcPr>
          <w:p w14:paraId="78B056E3" w14:textId="56EBC3C8" w:rsidR="00510F31" w:rsidRPr="00FE5DA4" w:rsidRDefault="00510F31" w:rsidP="00510F31">
            <w:pPr>
              <w:spacing w:before="100" w:beforeAutospacing="1" w:after="100" w:afterAutospacing="1"/>
              <w:rPr>
                <w:rFonts w:ascii="Times" w:hAnsi="Times"/>
                <w:sz w:val="22"/>
                <w:szCs w:val="22"/>
              </w:rPr>
            </w:pPr>
            <w:r w:rsidRPr="00FE5DA4">
              <w:rPr>
                <w:rFonts w:ascii="Times" w:hAnsi="Times"/>
                <w:sz w:val="22"/>
                <w:szCs w:val="22"/>
              </w:rPr>
              <w:t>Day/Time</w:t>
            </w:r>
          </w:p>
        </w:tc>
        <w:tc>
          <w:tcPr>
            <w:tcW w:w="3117" w:type="dxa"/>
          </w:tcPr>
          <w:p w14:paraId="20022F7D" w14:textId="2530BB54" w:rsidR="00510F31" w:rsidRPr="00FE5DA4" w:rsidRDefault="00510F31" w:rsidP="00510F31">
            <w:pPr>
              <w:spacing w:before="100" w:beforeAutospacing="1" w:after="100" w:afterAutospacing="1"/>
              <w:rPr>
                <w:rFonts w:ascii="Times" w:hAnsi="Times"/>
                <w:sz w:val="22"/>
                <w:szCs w:val="22"/>
              </w:rPr>
            </w:pPr>
            <w:r w:rsidRPr="00FE5DA4">
              <w:rPr>
                <w:rFonts w:ascii="Times" w:hAnsi="Times"/>
                <w:sz w:val="22"/>
                <w:szCs w:val="22"/>
              </w:rPr>
              <w:t>Conference</w:t>
            </w:r>
          </w:p>
        </w:tc>
        <w:tc>
          <w:tcPr>
            <w:tcW w:w="3117" w:type="dxa"/>
          </w:tcPr>
          <w:p w14:paraId="0EE48CFB" w14:textId="4FEF2621" w:rsidR="00510F31" w:rsidRPr="00FE5DA4" w:rsidRDefault="00510F31" w:rsidP="00510F31">
            <w:pPr>
              <w:spacing w:before="100" w:beforeAutospacing="1" w:after="100" w:afterAutospacing="1"/>
              <w:rPr>
                <w:rFonts w:ascii="Times" w:hAnsi="Times"/>
                <w:sz w:val="22"/>
                <w:szCs w:val="22"/>
              </w:rPr>
            </w:pPr>
            <w:r w:rsidRPr="00FE5DA4">
              <w:rPr>
                <w:rFonts w:ascii="Times" w:hAnsi="Times"/>
                <w:sz w:val="22"/>
                <w:szCs w:val="22"/>
              </w:rPr>
              <w:t>Location</w:t>
            </w:r>
          </w:p>
        </w:tc>
      </w:tr>
      <w:tr w:rsidR="00510F31" w:rsidRPr="00FE5DA4" w14:paraId="2AFA0034" w14:textId="77777777" w:rsidTr="00510F31">
        <w:tc>
          <w:tcPr>
            <w:tcW w:w="3116" w:type="dxa"/>
          </w:tcPr>
          <w:p w14:paraId="533556EC" w14:textId="750AB6B4" w:rsidR="00510F31" w:rsidRPr="00FE5DA4" w:rsidRDefault="00510F31" w:rsidP="00510F31">
            <w:pPr>
              <w:spacing w:before="100" w:beforeAutospacing="1" w:after="100" w:afterAutospacing="1"/>
              <w:rPr>
                <w:rFonts w:ascii="Times" w:hAnsi="Times"/>
                <w:sz w:val="22"/>
                <w:szCs w:val="22"/>
              </w:rPr>
            </w:pPr>
            <w:r w:rsidRPr="00FE5DA4">
              <w:rPr>
                <w:rFonts w:ascii="Times" w:hAnsi="Times"/>
                <w:sz w:val="22"/>
                <w:szCs w:val="22"/>
              </w:rPr>
              <w:t>Tuesday 7:45-9:15</w:t>
            </w:r>
          </w:p>
        </w:tc>
        <w:tc>
          <w:tcPr>
            <w:tcW w:w="3117" w:type="dxa"/>
          </w:tcPr>
          <w:p w14:paraId="40547B1E" w14:textId="2F357F23" w:rsidR="00510F31" w:rsidRPr="00FE5DA4" w:rsidRDefault="00510F31" w:rsidP="00510F31">
            <w:pPr>
              <w:spacing w:before="100" w:beforeAutospacing="1" w:after="100" w:afterAutospacing="1"/>
              <w:rPr>
                <w:rFonts w:ascii="Times" w:hAnsi="Times"/>
                <w:sz w:val="22"/>
                <w:szCs w:val="22"/>
              </w:rPr>
            </w:pPr>
            <w:r w:rsidRPr="00FE5DA4">
              <w:rPr>
                <w:rFonts w:ascii="Times" w:hAnsi="Times"/>
                <w:sz w:val="22"/>
                <w:szCs w:val="22"/>
              </w:rPr>
              <w:t>ID core curriculum/case conference</w:t>
            </w:r>
          </w:p>
        </w:tc>
        <w:tc>
          <w:tcPr>
            <w:tcW w:w="3117" w:type="dxa"/>
          </w:tcPr>
          <w:p w14:paraId="04041082" w14:textId="7F87D0D1" w:rsidR="00510F31" w:rsidRPr="00FE5DA4" w:rsidRDefault="00510F31" w:rsidP="00510F31">
            <w:pPr>
              <w:spacing w:before="100" w:beforeAutospacing="1" w:after="100" w:afterAutospacing="1"/>
              <w:rPr>
                <w:rFonts w:ascii="Times" w:hAnsi="Times"/>
                <w:sz w:val="22"/>
                <w:szCs w:val="22"/>
              </w:rPr>
            </w:pPr>
            <w:r w:rsidRPr="00FE5DA4">
              <w:rPr>
                <w:rFonts w:ascii="Times" w:hAnsi="Times"/>
                <w:sz w:val="22"/>
                <w:szCs w:val="22"/>
              </w:rPr>
              <w:t>Zoom</w:t>
            </w:r>
          </w:p>
        </w:tc>
      </w:tr>
      <w:tr w:rsidR="00510F31" w:rsidRPr="00FE5DA4" w14:paraId="60F87F07" w14:textId="77777777" w:rsidTr="00510F31">
        <w:tc>
          <w:tcPr>
            <w:tcW w:w="3116" w:type="dxa"/>
          </w:tcPr>
          <w:p w14:paraId="53E68E7A" w14:textId="44DDAF90" w:rsidR="00510F31" w:rsidRPr="00FE5DA4" w:rsidRDefault="00510F31" w:rsidP="00510F31">
            <w:pPr>
              <w:spacing w:before="100" w:beforeAutospacing="1" w:after="100" w:afterAutospacing="1"/>
              <w:rPr>
                <w:rFonts w:ascii="Times" w:hAnsi="Times"/>
                <w:sz w:val="22"/>
                <w:szCs w:val="22"/>
              </w:rPr>
            </w:pPr>
            <w:r w:rsidRPr="00FE5DA4">
              <w:rPr>
                <w:rFonts w:ascii="Times" w:hAnsi="Times"/>
                <w:sz w:val="22"/>
                <w:szCs w:val="22"/>
              </w:rPr>
              <w:t>Wednesday 8-9</w:t>
            </w:r>
          </w:p>
        </w:tc>
        <w:tc>
          <w:tcPr>
            <w:tcW w:w="3117" w:type="dxa"/>
          </w:tcPr>
          <w:p w14:paraId="4EF4B204" w14:textId="12316601" w:rsidR="00510F31" w:rsidRPr="00FE5DA4" w:rsidRDefault="00510F31" w:rsidP="00510F31">
            <w:pPr>
              <w:spacing w:before="100" w:beforeAutospacing="1" w:after="100" w:afterAutospacing="1"/>
              <w:rPr>
                <w:rFonts w:ascii="Times" w:hAnsi="Times"/>
                <w:sz w:val="22"/>
                <w:szCs w:val="22"/>
              </w:rPr>
            </w:pPr>
            <w:r w:rsidRPr="00FE5DA4">
              <w:rPr>
                <w:rFonts w:ascii="Times" w:hAnsi="Times"/>
                <w:sz w:val="22"/>
                <w:szCs w:val="22"/>
              </w:rPr>
              <w:t xml:space="preserve">IM-ID board review (for residents only) </w:t>
            </w:r>
          </w:p>
        </w:tc>
        <w:tc>
          <w:tcPr>
            <w:tcW w:w="3117" w:type="dxa"/>
          </w:tcPr>
          <w:p w14:paraId="1C5E192C" w14:textId="72C9049D" w:rsidR="00510F31" w:rsidRPr="00FE5DA4" w:rsidRDefault="00510F31" w:rsidP="00510F31">
            <w:pPr>
              <w:spacing w:before="100" w:beforeAutospacing="1" w:after="100" w:afterAutospacing="1"/>
              <w:rPr>
                <w:rFonts w:ascii="Times" w:hAnsi="Times"/>
                <w:sz w:val="22"/>
                <w:szCs w:val="22"/>
              </w:rPr>
            </w:pPr>
            <w:r w:rsidRPr="00FE5DA4">
              <w:rPr>
                <w:rFonts w:ascii="Times" w:hAnsi="Times"/>
                <w:sz w:val="22"/>
                <w:szCs w:val="22"/>
              </w:rPr>
              <w:t>Teams</w:t>
            </w:r>
          </w:p>
        </w:tc>
      </w:tr>
      <w:tr w:rsidR="00510F31" w:rsidRPr="00FE5DA4" w14:paraId="2401C796" w14:textId="77777777" w:rsidTr="00510F31">
        <w:tc>
          <w:tcPr>
            <w:tcW w:w="3116" w:type="dxa"/>
          </w:tcPr>
          <w:p w14:paraId="382E2BC6" w14:textId="3B66E584" w:rsidR="00510F31" w:rsidRPr="00FE5DA4" w:rsidRDefault="00510F31" w:rsidP="00510F31">
            <w:pPr>
              <w:spacing w:before="100" w:beforeAutospacing="1" w:after="100" w:afterAutospacing="1"/>
              <w:rPr>
                <w:rFonts w:ascii="Times" w:hAnsi="Times"/>
                <w:sz w:val="22"/>
                <w:szCs w:val="22"/>
              </w:rPr>
            </w:pPr>
            <w:r w:rsidRPr="00FE5DA4">
              <w:rPr>
                <w:rFonts w:ascii="Times" w:hAnsi="Times"/>
                <w:sz w:val="22"/>
                <w:szCs w:val="22"/>
              </w:rPr>
              <w:t>Thursday 8-9</w:t>
            </w:r>
          </w:p>
        </w:tc>
        <w:tc>
          <w:tcPr>
            <w:tcW w:w="3117" w:type="dxa"/>
          </w:tcPr>
          <w:p w14:paraId="5E522AE9" w14:textId="15AAED1C" w:rsidR="00510F31" w:rsidRPr="00FE5DA4" w:rsidRDefault="00510F31" w:rsidP="00510F31">
            <w:pPr>
              <w:spacing w:before="100" w:beforeAutospacing="1" w:after="100" w:afterAutospacing="1"/>
              <w:rPr>
                <w:rFonts w:ascii="Times" w:hAnsi="Times"/>
                <w:sz w:val="22"/>
                <w:szCs w:val="22"/>
              </w:rPr>
            </w:pPr>
            <w:r w:rsidRPr="00FE5DA4">
              <w:rPr>
                <w:rFonts w:ascii="Times" w:hAnsi="Times"/>
                <w:sz w:val="22"/>
                <w:szCs w:val="22"/>
              </w:rPr>
              <w:t>ID grand rounds</w:t>
            </w:r>
          </w:p>
        </w:tc>
        <w:tc>
          <w:tcPr>
            <w:tcW w:w="3117" w:type="dxa"/>
          </w:tcPr>
          <w:p w14:paraId="114520A3" w14:textId="7D5E297F" w:rsidR="00510F31" w:rsidRPr="00FE5DA4" w:rsidRDefault="00510F31" w:rsidP="00510F31">
            <w:pPr>
              <w:spacing w:before="100" w:beforeAutospacing="1" w:after="100" w:afterAutospacing="1"/>
              <w:rPr>
                <w:rFonts w:ascii="Times" w:hAnsi="Times"/>
                <w:sz w:val="22"/>
                <w:szCs w:val="22"/>
              </w:rPr>
            </w:pPr>
            <w:r w:rsidRPr="00FE5DA4">
              <w:rPr>
                <w:rFonts w:ascii="Times" w:hAnsi="Times"/>
                <w:sz w:val="22"/>
                <w:szCs w:val="22"/>
              </w:rPr>
              <w:t>Zoom</w:t>
            </w:r>
          </w:p>
        </w:tc>
      </w:tr>
      <w:tr w:rsidR="00510F31" w:rsidRPr="00FE5DA4" w14:paraId="22BA1C06" w14:textId="77777777" w:rsidTr="00510F31">
        <w:tc>
          <w:tcPr>
            <w:tcW w:w="3116" w:type="dxa"/>
          </w:tcPr>
          <w:p w14:paraId="73528C12" w14:textId="229D3900" w:rsidR="00510F31" w:rsidRPr="00FE5DA4" w:rsidRDefault="00510F31" w:rsidP="00510F31">
            <w:pPr>
              <w:spacing w:before="100" w:beforeAutospacing="1" w:after="100" w:afterAutospacing="1"/>
              <w:rPr>
                <w:rFonts w:ascii="Times" w:hAnsi="Times"/>
                <w:sz w:val="22"/>
                <w:szCs w:val="22"/>
              </w:rPr>
            </w:pPr>
            <w:r w:rsidRPr="00FE5DA4">
              <w:rPr>
                <w:rFonts w:ascii="Times" w:hAnsi="Times"/>
                <w:sz w:val="22"/>
                <w:szCs w:val="22"/>
              </w:rPr>
              <w:t>Friday 8-9</w:t>
            </w:r>
          </w:p>
        </w:tc>
        <w:tc>
          <w:tcPr>
            <w:tcW w:w="3117" w:type="dxa"/>
          </w:tcPr>
          <w:p w14:paraId="40D492CA" w14:textId="0E48A068" w:rsidR="00510F31" w:rsidRPr="00FE5DA4" w:rsidRDefault="00510F31" w:rsidP="00510F31">
            <w:pPr>
              <w:spacing w:before="100" w:beforeAutospacing="1" w:after="100" w:afterAutospacing="1"/>
              <w:rPr>
                <w:rFonts w:ascii="Times" w:hAnsi="Times"/>
                <w:sz w:val="22"/>
                <w:szCs w:val="22"/>
              </w:rPr>
            </w:pPr>
            <w:r w:rsidRPr="00FE5DA4">
              <w:rPr>
                <w:rFonts w:ascii="Times" w:hAnsi="Times"/>
                <w:sz w:val="22"/>
                <w:szCs w:val="22"/>
              </w:rPr>
              <w:t>IM grand rounds</w:t>
            </w:r>
          </w:p>
        </w:tc>
        <w:tc>
          <w:tcPr>
            <w:tcW w:w="3117" w:type="dxa"/>
          </w:tcPr>
          <w:p w14:paraId="361019CA" w14:textId="005E7565" w:rsidR="00510F31" w:rsidRPr="00FE5DA4" w:rsidRDefault="00510F31" w:rsidP="00510F31">
            <w:pPr>
              <w:spacing w:before="100" w:beforeAutospacing="1" w:after="100" w:afterAutospacing="1"/>
              <w:rPr>
                <w:rFonts w:ascii="Times" w:hAnsi="Times"/>
                <w:sz w:val="22"/>
                <w:szCs w:val="22"/>
              </w:rPr>
            </w:pPr>
            <w:r w:rsidRPr="00FE5DA4">
              <w:rPr>
                <w:rFonts w:ascii="Times" w:hAnsi="Times"/>
                <w:sz w:val="22"/>
                <w:szCs w:val="22"/>
              </w:rPr>
              <w:t>Zoom</w:t>
            </w:r>
          </w:p>
        </w:tc>
      </w:tr>
    </w:tbl>
    <w:p w14:paraId="32ACE88F" w14:textId="77777777" w:rsidR="00510F31" w:rsidRPr="00510F31" w:rsidRDefault="00510F31" w:rsidP="00510F31">
      <w:pPr>
        <w:spacing w:before="100" w:beforeAutospacing="1" w:after="100" w:afterAutospacing="1"/>
      </w:pPr>
    </w:p>
    <w:sectPr w:rsidR="00510F31" w:rsidRPr="00510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5E79"/>
    <w:multiLevelType w:val="multilevel"/>
    <w:tmpl w:val="2D904D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4466BC"/>
    <w:multiLevelType w:val="multilevel"/>
    <w:tmpl w:val="069CF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633FD2"/>
    <w:multiLevelType w:val="multilevel"/>
    <w:tmpl w:val="15F6D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B6715D"/>
    <w:multiLevelType w:val="multilevel"/>
    <w:tmpl w:val="AED48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25946044">
    <w:abstractNumId w:val="2"/>
  </w:num>
  <w:num w:numId="2" w16cid:durableId="1456484218">
    <w:abstractNumId w:val="1"/>
  </w:num>
  <w:num w:numId="3" w16cid:durableId="85807647">
    <w:abstractNumId w:val="3"/>
  </w:num>
  <w:num w:numId="4" w16cid:durableId="1120610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CF9"/>
    <w:rsid w:val="00072EEB"/>
    <w:rsid w:val="000A2BD6"/>
    <w:rsid w:val="00114701"/>
    <w:rsid w:val="004D29A1"/>
    <w:rsid w:val="004D3075"/>
    <w:rsid w:val="00510F31"/>
    <w:rsid w:val="00707371"/>
    <w:rsid w:val="00740008"/>
    <w:rsid w:val="00845CF9"/>
    <w:rsid w:val="008F38B4"/>
    <w:rsid w:val="00FE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275BE9"/>
  <w15:chartTrackingRefBased/>
  <w15:docId w15:val="{73858BE4-55E4-5547-95C5-BEEF2399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5CF9"/>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510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56344">
      <w:bodyDiv w:val="1"/>
      <w:marLeft w:val="0"/>
      <w:marRight w:val="0"/>
      <w:marTop w:val="0"/>
      <w:marBottom w:val="0"/>
      <w:divBdr>
        <w:top w:val="none" w:sz="0" w:space="0" w:color="auto"/>
        <w:left w:val="none" w:sz="0" w:space="0" w:color="auto"/>
        <w:bottom w:val="none" w:sz="0" w:space="0" w:color="auto"/>
        <w:right w:val="none" w:sz="0" w:space="0" w:color="auto"/>
      </w:divBdr>
      <w:divsChild>
        <w:div w:id="1202595131">
          <w:marLeft w:val="0"/>
          <w:marRight w:val="0"/>
          <w:marTop w:val="0"/>
          <w:marBottom w:val="0"/>
          <w:divBdr>
            <w:top w:val="none" w:sz="0" w:space="0" w:color="auto"/>
            <w:left w:val="none" w:sz="0" w:space="0" w:color="auto"/>
            <w:bottom w:val="none" w:sz="0" w:space="0" w:color="auto"/>
            <w:right w:val="none" w:sz="0" w:space="0" w:color="auto"/>
          </w:divBdr>
          <w:divsChild>
            <w:div w:id="1144003378">
              <w:marLeft w:val="0"/>
              <w:marRight w:val="0"/>
              <w:marTop w:val="0"/>
              <w:marBottom w:val="0"/>
              <w:divBdr>
                <w:top w:val="none" w:sz="0" w:space="0" w:color="auto"/>
                <w:left w:val="none" w:sz="0" w:space="0" w:color="auto"/>
                <w:bottom w:val="none" w:sz="0" w:space="0" w:color="auto"/>
                <w:right w:val="none" w:sz="0" w:space="0" w:color="auto"/>
              </w:divBdr>
              <w:divsChild>
                <w:div w:id="1958176020">
                  <w:marLeft w:val="0"/>
                  <w:marRight w:val="0"/>
                  <w:marTop w:val="0"/>
                  <w:marBottom w:val="0"/>
                  <w:divBdr>
                    <w:top w:val="none" w:sz="0" w:space="0" w:color="auto"/>
                    <w:left w:val="none" w:sz="0" w:space="0" w:color="auto"/>
                    <w:bottom w:val="none" w:sz="0" w:space="0" w:color="auto"/>
                    <w:right w:val="none" w:sz="0" w:space="0" w:color="auto"/>
                  </w:divBdr>
                </w:div>
              </w:divsChild>
            </w:div>
            <w:div w:id="657540229">
              <w:marLeft w:val="0"/>
              <w:marRight w:val="0"/>
              <w:marTop w:val="0"/>
              <w:marBottom w:val="0"/>
              <w:divBdr>
                <w:top w:val="none" w:sz="0" w:space="0" w:color="auto"/>
                <w:left w:val="none" w:sz="0" w:space="0" w:color="auto"/>
                <w:bottom w:val="none" w:sz="0" w:space="0" w:color="auto"/>
                <w:right w:val="none" w:sz="0" w:space="0" w:color="auto"/>
              </w:divBdr>
              <w:divsChild>
                <w:div w:id="90584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11516">
          <w:marLeft w:val="0"/>
          <w:marRight w:val="0"/>
          <w:marTop w:val="0"/>
          <w:marBottom w:val="0"/>
          <w:divBdr>
            <w:top w:val="none" w:sz="0" w:space="0" w:color="auto"/>
            <w:left w:val="none" w:sz="0" w:space="0" w:color="auto"/>
            <w:bottom w:val="none" w:sz="0" w:space="0" w:color="auto"/>
            <w:right w:val="none" w:sz="0" w:space="0" w:color="auto"/>
          </w:divBdr>
          <w:divsChild>
            <w:div w:id="1532452076">
              <w:marLeft w:val="0"/>
              <w:marRight w:val="0"/>
              <w:marTop w:val="0"/>
              <w:marBottom w:val="0"/>
              <w:divBdr>
                <w:top w:val="none" w:sz="0" w:space="0" w:color="auto"/>
                <w:left w:val="none" w:sz="0" w:space="0" w:color="auto"/>
                <w:bottom w:val="none" w:sz="0" w:space="0" w:color="auto"/>
                <w:right w:val="none" w:sz="0" w:space="0" w:color="auto"/>
              </w:divBdr>
              <w:divsChild>
                <w:div w:id="1512648569">
                  <w:marLeft w:val="0"/>
                  <w:marRight w:val="0"/>
                  <w:marTop w:val="0"/>
                  <w:marBottom w:val="0"/>
                  <w:divBdr>
                    <w:top w:val="none" w:sz="0" w:space="0" w:color="auto"/>
                    <w:left w:val="none" w:sz="0" w:space="0" w:color="auto"/>
                    <w:bottom w:val="none" w:sz="0" w:space="0" w:color="auto"/>
                    <w:right w:val="none" w:sz="0" w:space="0" w:color="auto"/>
                  </w:divBdr>
                </w:div>
              </w:divsChild>
            </w:div>
            <w:div w:id="1175416239">
              <w:marLeft w:val="0"/>
              <w:marRight w:val="0"/>
              <w:marTop w:val="0"/>
              <w:marBottom w:val="0"/>
              <w:divBdr>
                <w:top w:val="none" w:sz="0" w:space="0" w:color="auto"/>
                <w:left w:val="none" w:sz="0" w:space="0" w:color="auto"/>
                <w:bottom w:val="none" w:sz="0" w:space="0" w:color="auto"/>
                <w:right w:val="none" w:sz="0" w:space="0" w:color="auto"/>
              </w:divBdr>
              <w:divsChild>
                <w:div w:id="1410156541">
                  <w:marLeft w:val="0"/>
                  <w:marRight w:val="0"/>
                  <w:marTop w:val="0"/>
                  <w:marBottom w:val="0"/>
                  <w:divBdr>
                    <w:top w:val="none" w:sz="0" w:space="0" w:color="auto"/>
                    <w:left w:val="none" w:sz="0" w:space="0" w:color="auto"/>
                    <w:bottom w:val="none" w:sz="0" w:space="0" w:color="auto"/>
                    <w:right w:val="none" w:sz="0" w:space="0" w:color="auto"/>
                  </w:divBdr>
                </w:div>
              </w:divsChild>
            </w:div>
            <w:div w:id="59141397">
              <w:marLeft w:val="0"/>
              <w:marRight w:val="0"/>
              <w:marTop w:val="0"/>
              <w:marBottom w:val="0"/>
              <w:divBdr>
                <w:top w:val="none" w:sz="0" w:space="0" w:color="auto"/>
                <w:left w:val="none" w:sz="0" w:space="0" w:color="auto"/>
                <w:bottom w:val="none" w:sz="0" w:space="0" w:color="auto"/>
                <w:right w:val="none" w:sz="0" w:space="0" w:color="auto"/>
              </w:divBdr>
              <w:divsChild>
                <w:div w:id="1815372360">
                  <w:marLeft w:val="0"/>
                  <w:marRight w:val="0"/>
                  <w:marTop w:val="0"/>
                  <w:marBottom w:val="0"/>
                  <w:divBdr>
                    <w:top w:val="none" w:sz="0" w:space="0" w:color="auto"/>
                    <w:left w:val="none" w:sz="0" w:space="0" w:color="auto"/>
                    <w:bottom w:val="none" w:sz="0" w:space="0" w:color="auto"/>
                    <w:right w:val="none" w:sz="0" w:space="0" w:color="auto"/>
                  </w:divBdr>
                </w:div>
                <w:div w:id="215435100">
                  <w:marLeft w:val="0"/>
                  <w:marRight w:val="0"/>
                  <w:marTop w:val="0"/>
                  <w:marBottom w:val="0"/>
                  <w:divBdr>
                    <w:top w:val="none" w:sz="0" w:space="0" w:color="auto"/>
                    <w:left w:val="none" w:sz="0" w:space="0" w:color="auto"/>
                    <w:bottom w:val="none" w:sz="0" w:space="0" w:color="auto"/>
                    <w:right w:val="none" w:sz="0" w:space="0" w:color="auto"/>
                  </w:divBdr>
                </w:div>
                <w:div w:id="6679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957</Words>
  <Characters>5459</Characters>
  <Application>Microsoft Office Word</Application>
  <DocSecurity>0</DocSecurity>
  <Lines>45</Lines>
  <Paragraphs>12</Paragraphs>
  <ScaleCrop>false</ScaleCrop>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Anusha Govind</dc:creator>
  <cp:keywords/>
  <dc:description/>
  <cp:lastModifiedBy>Anusha Govind</cp:lastModifiedBy>
  <cp:revision>9</cp:revision>
  <dcterms:created xsi:type="dcterms:W3CDTF">2022-07-04T19:14:00Z</dcterms:created>
  <dcterms:modified xsi:type="dcterms:W3CDTF">2022-07-04T19:24:00Z</dcterms:modified>
</cp:coreProperties>
</file>